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CРС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МОЛЕКУЛЯРНЫЕ ОСНОВЫ ПАТОЛОГИИ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Интегрированный случай генетики и фармакологии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Для СРС вам придется работать в группах, в которых вы обычно учитесь (10-12 студентов в каждой группе). Вам необходимо найти статьи по фармакогенетике (хотя бы одна статья на каждого студента) для исследования конкретной темы и обобщить всю информацию из этих статей в один тезис. Потенциальные темы, которые вы можете выбрать, перечислены в таблице (Приложение 2). Вклад каждого имеет решающее значение, поскольку каждый должен заполнить таблицу в приложении. Это одна таблица на группу, куда каждый студент вносит как минимум 1 статью, которую он / она исследовал, и включает основные моменты оттуда, такие как: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Тема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Автор, журнал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Гипотезы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Методика и материалы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Полученные результаты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Заключение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Используйте Google Scholar (https://scholar.google.com/) для поиска надежных научных статей. СРС будет проводиться в форме научной конференции на 7 неделе, но тезисы и таблицы должны быть представлены до ____________ . Объем вашего тезиса не должен превышать 1000 слов, включая список литературы (около 2 страниц).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Работы будут проверяться на плагиат. Допустимый процент сообщения о плагиате в научной работе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не более 25% сходства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Пять лучших тезисов будут приняты на дальнейшие презентации, которые состоятся в ____________________. Будут следующие категории оценок: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90 – 100% для пяти отобранных групп, представивших свои тезисы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50 – 80% на остальные работы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0% Работы, не прошедшие проверку на антиплагиат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Данное задание составит 10 баллов курсового балла.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6-й и 7-й неделе пройдут две консультации с преподавателем, на которых вы сможете получить отзывы о своем текущем прогрессе.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Критерии оценки тезиса и таблицы (подробнее см. в приложении 3):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Отреагируйте на исследование или инициируйте его, а также разъясните или определите, какие знания необходимы, принимая во внимание этические/культурные и социальные/командные соображения.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Найдите и сгенерируйте необходимую информацию/данные, используя соответствующую методологию.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Определите и оцените степень достоверности выбранных источников и полученных данных, а также поразмышляйте об использованных исследовательских процессах.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Организуйте информацию и данные для выявления закономерностей и тем, а также управляйте командами и исследовательскими процессами.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Критически анализируйте информацию/данные и синтезируйте новые знания для достижения согласованного индивидуального/командного понимания.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Напишите, представьте и реализуйте процессы, понимание и применение исследования, а также отвечайте на отзывы, учитывая этические, социальные и культурные (ESC) проблемы.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Включение ссылок на научные статьи и оригинальные источники, которые читатель может изучить, чтобы понять ваш тезис.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Источники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www.pharmgkb.org/vips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Goodman and Gilman Basics of Therapeutics 2010, 2018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Pubmed. Ncbi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https://www.pharmgkb.org/vips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Критерии оценки презентации: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0"/>
        <w:gridCol w:w="2595"/>
        <w:gridCol w:w="2775"/>
        <w:gridCol w:w="3105"/>
        <w:gridCol w:w="3255"/>
        <w:tblGridChange w:id="0">
          <w:tblGrid>
            <w:gridCol w:w="1650"/>
            <w:gridCol w:w="2595"/>
            <w:gridCol w:w="2775"/>
            <w:gridCol w:w="3105"/>
            <w:gridCol w:w="3255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Уровень достижений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Отличный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Хороший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Удовлетворительный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Неполноценный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Структура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Хорошо продумано и имеет логическое развитие.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Очень хорошо преподносит информацию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Четко сформулировано значение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Уровень контента, соответствующий аудитории.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Аннотация и библиография хорошо составлены.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Легко преподносит информацию.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Использование правильного языка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Четко сформулировано значение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Уровень содержания не всегда соответствует требованиям.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В аннотации и/или библиографии есть ошибки.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Разговор несколько неорганизованный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Демонстрирует некоторые усилия, чтобы использовать правильный язык.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Значение несколько неясно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Включает некоторый нерелевантный контент и недопустимый уровень контента.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Аннотация и библиография составлены плохо.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Разговоры трудно понять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Трудно доносит информацию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 понимает значимости работы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Неадекватное содержание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Аннотация и библиография не имеют надлежащего содержания и конструкции.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8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Понимание научного содержания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Определяет вопрос исследования/область исследования.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Обладает глубоким пониманием экспериментального подхода и его значения.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Критически оценивает результаты, методологию и выводы.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Научно строгий и хорошо исследованный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Определяет вопрос исследования/область исследования.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Имеет базовое понимание экспериментального подхода и его значения.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Ограниченная оценка результатов, методологии и выводов.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Хорошо исследовано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Вопрос исследования/область исследования несколько неясны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Описание экспериментального подхода несколько запутанно.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Результаты и выводы изложены, но не подвергнуты критической оценке.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 интегрирует внешние показания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 понимает исследования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 понимает экспериментальный подход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 понимает выводов и не осознает их значение для будущей работы.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Стиль/подача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Мудро использует время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Говорит в хорошем темпе и с энтузиазмом.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Устанавливает зрительный контакт и не читает информацию.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Использует приятный тон и соответствующий словарный запас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Хорошо говорит, но часто повторяет комментарии.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Демонстрирует путаницу («ах», «хм» и т. д.)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Устанавливает зрительный контакт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Использует хороший словарный запас и тон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Презентация несвоевременна.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Очевидны некоторые колебания и неуверенность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Демонстрирует множество нарушений речи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Мало смотрит в глаза и просматривает записи.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Монотонная и неинтересная подача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Презентация несвоевременна •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 смотрит в глаза и читает по заметкам.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Колебания и неуверенность очень очевидны.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Говорит слишком тихо или быстро, чтобы аудитория могла услышать и понять.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Использование наглядных пособий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Таблицы/графики обобщают данные и/или выводы.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Размер и символы четкие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• Очень мало текста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Рисунки и изображения хорошо объяснены и описаны.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В презентации нет орфографических и грамматических ошибок.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Ограниченно и эффективно использует лазерную указку.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AV настроен правильно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Текст соответствующего размера.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Очень мало текста.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Большинство рисунков и изображений хорошо объяснены и описаны.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В презентации иногда встречаются орфографические или грамматические ошибки.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Эффективно использует лазерную указку.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AV настроен правильно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Ярлыки и легенды несколько неясны.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Размер текста несколько мал.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Слишком много деталей на слайдах.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Блоки текста на слайдах.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Рисунки пояснены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В презентации имеется множество орфографических и/или грамматических ошибок.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Без необходимости использует лазерную указку.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Устранены неполадки с AV-оборудованием.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Маркировка нечеткая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Размер слишком мал, чтобы его можно было увидеть.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Отсутствие логического размещения информации.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В основном текст и очень мало изображений.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Рисунки не поясняются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В презентации имеется множество орфографических и/или грамматических ошибок.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Использование лазерной указки отвлекает.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Неисправности AV-оборудования не устранены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Умение отвечать на вопросы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Предвидит вопросы аудитории.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Понимает вопросы аудитории.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Может интегрировать знания, чтобы ответить на вопросы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Подробно отвечает на вопросы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 предугадывает вопросы аудитории.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Понимает вопросы аудитории.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Может интегрировать знания, чтобы ответить на вопросы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Подробно отвечает на большинство вопросов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Не предугадывает вопросы аудитории.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Прилагает усилия для решения вопроса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Может ответить на некоторые вопросы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Часто плохо отвечает на вопросы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• Либо не пытается отвечать на вопросы, либо делает это плохо.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Attachment 1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1155"/>
        <w:gridCol w:w="1155"/>
        <w:gridCol w:w="1290"/>
        <w:gridCol w:w="1365"/>
        <w:gridCol w:w="2250"/>
        <w:gridCol w:w="3345"/>
        <w:gridCol w:w="2385"/>
        <w:tblGridChange w:id="0">
          <w:tblGrid>
            <w:gridCol w:w="420"/>
            <w:gridCol w:w="1155"/>
            <w:gridCol w:w="1155"/>
            <w:gridCol w:w="1290"/>
            <w:gridCol w:w="1365"/>
            <w:gridCol w:w="2250"/>
            <w:gridCol w:w="3345"/>
            <w:gridCol w:w="23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студента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Ссылка на статью (авторы, тема, журнал)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Гипотезы исследования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Методы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Результаты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Выводы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образец</w:t>
            </w:r>
          </w:p>
        </w:tc>
        <w:tc>
          <w:tcPr/>
          <w:p w:rsidR="00000000" w:rsidDel="00000000" w:rsidP="00000000" w:rsidRDefault="00000000" w:rsidRPr="00000000" w14:paraId="000000C5">
            <w:pPr>
              <w:pStyle w:val="Heading1"/>
              <w:keepNext w:val="0"/>
              <w:keepLines w:val="0"/>
              <w:shd w:fill="ffffff" w:val="clear"/>
              <w:spacing w:line="335" w:lineRule="auto"/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</w:rPr>
            </w:pPr>
            <w:bookmarkStart w:colFirst="0" w:colLast="0" w:name="_heading=h.eiq83xj4e64u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rtl w:val="0"/>
              </w:rPr>
              <w:t xml:space="preserve">Polymorphism in the beta(1)-adrenergic receptor gene and hypertension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71bc"/>
                  <w:sz w:val="20"/>
                  <w:szCs w:val="20"/>
                  <w:highlight w:val="white"/>
                  <w:rtl w:val="0"/>
                </w:rPr>
                <w:t xml:space="preserve">K Bengtsson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5b616b"/>
                <w:sz w:val="20"/>
                <w:szCs w:val="20"/>
                <w:highlight w:val="whit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323a45"/>
                  <w:sz w:val="20"/>
                  <w:szCs w:val="20"/>
                  <w:shd w:fill="f1f1f1" w:val="clear"/>
                  <w:rtl w:val="0"/>
                </w:rPr>
                <w:t xml:space="preserve">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5b616b"/>
                <w:sz w:val="20"/>
                <w:szCs w:val="20"/>
                <w:highlight w:val="white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71bc"/>
                  <w:sz w:val="20"/>
                  <w:szCs w:val="20"/>
                  <w:highlight w:val="white"/>
                  <w:rtl w:val="0"/>
                </w:rPr>
                <w:t xml:space="preserve">O Melander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5b616b"/>
                <w:sz w:val="20"/>
                <w:szCs w:val="20"/>
                <w:highlight w:val="white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71bc"/>
                  <w:sz w:val="20"/>
                  <w:szCs w:val="20"/>
                  <w:highlight w:val="white"/>
                  <w:rtl w:val="0"/>
                </w:rPr>
                <w:t xml:space="preserve">M Orho-Melander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5b616b"/>
                <w:sz w:val="20"/>
                <w:szCs w:val="20"/>
                <w:highlight w:val="white"/>
                <w:rtl w:val="0"/>
              </w:rPr>
              <w:t xml:space="preserve">,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71bc"/>
                  <w:sz w:val="20"/>
                  <w:szCs w:val="20"/>
                  <w:highlight w:val="white"/>
                  <w:rtl w:val="0"/>
                </w:rPr>
                <w:t xml:space="preserve">U Lindblad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5b616b"/>
                <w:sz w:val="20"/>
                <w:szCs w:val="20"/>
                <w:highlight w:val="white"/>
                <w:rtl w:val="0"/>
              </w:rPr>
              <w:t xml:space="preserve">,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71bc"/>
                  <w:sz w:val="20"/>
                  <w:szCs w:val="20"/>
                  <w:highlight w:val="white"/>
                  <w:rtl w:val="0"/>
                </w:rPr>
                <w:t xml:space="preserve">J Ranstam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5b616b"/>
                <w:sz w:val="20"/>
                <w:szCs w:val="20"/>
                <w:highlight w:val="white"/>
                <w:rtl w:val="0"/>
              </w:rPr>
              <w:t xml:space="preserve">,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71bc"/>
                  <w:sz w:val="20"/>
                  <w:szCs w:val="20"/>
                  <w:highlight w:val="white"/>
                  <w:rtl w:val="0"/>
                </w:rPr>
                <w:t xml:space="preserve">L Råstam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5b616b"/>
                <w:sz w:val="20"/>
                <w:szCs w:val="20"/>
                <w:highlight w:val="white"/>
                <w:rtl w:val="0"/>
              </w:rPr>
              <w:t xml:space="preserve">,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71bc"/>
                  <w:sz w:val="20"/>
                  <w:szCs w:val="20"/>
                  <w:highlight w:val="white"/>
                  <w:rtl w:val="0"/>
                </w:rPr>
                <w:t xml:space="preserve">L Groop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полиморфизм связан с гипертонией у скандинавов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В общей сложности 292 неродственных пациента с гипертонией, не страдающих диабетом, и 265 неродственных здоровых субъектов из контрольной группы были включены в исследование ассоциации «случай-контроль». Из 118 семей для исследования братьев и сестер были отобраны 102 пары братьев и сестер, не страдающих диабетом и не получающих антигипертензивных препаратов, которые были дискордантными по полиморфизму Arg389Gly. Частоты аллелей и генотипов полиморфизмов Arg389Gly и Ser49Gly сравнивали между пациентами с гипертонией и контрольными субъектами с нормальным давлением.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Артериальное давление и частота сердечных сокращений сравнивались у носителей разных генотипов.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исследовании «случай-контроль» отношение шансов развития гипертонии с поправкой на возраст и индекс массы тела у субъектов, гомозиготных по аллелю Arg389, составило 1,9 (95% доверительный интервал от 1,3 до 2,7; P=0,0005) по сравнению с носителями 1 или 1 или 2,7. 2 копии аллели Gly389. Анализ пар братьев и сестер, не согласующихся по генотипу, показал, что братья и сестры, гомозиготные по аллели Arg389, имели значительно более высокое диастолическое артериальное давление (79,4+/-9,9 против 76,0+/-10,1 мм рт.ст.; P=0,003) и более высокую частоту сердечных сокращений (68,3+/-11,0). против 65,1+/-9,4 ударов в минуту; P=0,02), чем у братьев и сестер, несущих 1 или 2 копии аллели Gly389. Полиморфизм Ser49Gly не был связан с артериальной гипертензией.</w:t>
            </w:r>
          </w:p>
        </w:tc>
        <w:tc>
          <w:tcPr/>
          <w:p w:rsidR="00000000" w:rsidDel="00000000" w:rsidP="00000000" w:rsidRDefault="00000000" w:rsidRPr="00000000" w14:paraId="000000CC">
            <w:pPr>
              <w:shd w:fill="ffffff" w:val="clear"/>
              <w:spacing w:after="280" w:before="280" w:line="360" w:lineRule="auto"/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rtl w:val="0"/>
              </w:rPr>
              <w:t xml:space="preserve">Наши данные показывают, что люди, гомозиготные по аллели Arg389 гена бета(1)-адренергического рецептора, подвергаются повышенному риску развития гипертонии.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образец</w:t>
            </w:r>
          </w:p>
        </w:tc>
        <w:tc>
          <w:tcPr/>
          <w:p w:rsidR="00000000" w:rsidDel="00000000" w:rsidP="00000000" w:rsidRDefault="00000000" w:rsidRPr="00000000" w14:paraId="000000D0">
            <w:pPr>
              <w:shd w:fill="ffffff" w:val="clear"/>
              <w:spacing w:before="400" w:line="3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β-Adrenergic Receptor Gene Polymorphisms and β-Blocker Treatment Outcomes in Hypertension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376faa"/>
                  <w:sz w:val="20"/>
                  <w:szCs w:val="20"/>
                  <w:highlight w:val="white"/>
                  <w:u w:val="single"/>
                  <w:rtl w:val="0"/>
                </w:rPr>
                <w:t xml:space="preserve">MA Pacanowski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,1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376faa"/>
                  <w:sz w:val="20"/>
                  <w:szCs w:val="20"/>
                  <w:highlight w:val="white"/>
                  <w:u w:val="single"/>
                  <w:rtl w:val="0"/>
                </w:rPr>
                <w:t xml:space="preserve">Y Gong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,1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376faa"/>
                  <w:sz w:val="20"/>
                  <w:szCs w:val="20"/>
                  <w:highlight w:val="white"/>
                  <w:u w:val="single"/>
                  <w:rtl w:val="0"/>
                </w:rPr>
                <w:t xml:space="preserve">RM Cooper-DeHoff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,2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376faa"/>
                  <w:sz w:val="20"/>
                  <w:szCs w:val="20"/>
                  <w:highlight w:val="white"/>
                  <w:u w:val="single"/>
                  <w:rtl w:val="0"/>
                </w:rPr>
                <w:t xml:space="preserve">NJ Schork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,3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376faa"/>
                  <w:sz w:val="20"/>
                  <w:szCs w:val="20"/>
                  <w:highlight w:val="white"/>
                  <w:u w:val="single"/>
                  <w:rtl w:val="0"/>
                </w:rPr>
                <w:t xml:space="preserve">MD Shriver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,4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376faa"/>
                  <w:sz w:val="20"/>
                  <w:szCs w:val="20"/>
                  <w:highlight w:val="white"/>
                  <w:u w:val="single"/>
                  <w:rtl w:val="0"/>
                </w:rPr>
                <w:t xml:space="preserve">TY Langaee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,1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376faa"/>
                  <w:sz w:val="20"/>
                  <w:szCs w:val="20"/>
                  <w:highlight w:val="white"/>
                  <w:u w:val="single"/>
                  <w:rtl w:val="0"/>
                </w:rPr>
                <w:t xml:space="preserve">CJ Pepine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,2 and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376faa"/>
                  <w:sz w:val="20"/>
                  <w:szCs w:val="20"/>
                  <w:highlight w:val="white"/>
                  <w:u w:val="single"/>
                  <w:rtl w:val="0"/>
                </w:rPr>
                <w:t xml:space="preserve">JA Johnson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1,2,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Варианты генов β1- и β2-адренергических рецепторов (ADRB1 и ADRB2) влияют на сердечно-сосудистый риск и реакцию β-блокаторов при гипертонии и сердечной недостаточности.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Мы оценили взаимосвязь между гаплотипами ADRB1 и ADRB2, сердечно-сосудистым риском (смерть, нефатальный инфаркт миокарда (ИМ) и нефатальный инсульт), а также антигипертензивной терапией на основе атенолола и верапамила с пролонгированным высвобождением (SR) у 5895 пациентов с ишемической болезнью сердца (см. ИБС) пациентов.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среднем через 2,8 года уровень смертности был выше у пациентов, несущих гаплотип ADRB1 Ser49-Arg389 (отношение рисков (HR) 3,66, 95% доверительный интервал (95% ДИ) 1,68–7,99). Этот риск смертности был значительным у пациентов, рандомизированных для приема верапамила SR (ОР 8,58, 95% ДИ 2,06–35,8), но не для атенолола (ОР 2,31, 95% ДИ 0,82–6,55), что указывает на защитную роль β-блокатора.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  <w:highlight w:val="white"/>
                <w:rtl w:val="0"/>
              </w:rPr>
              <w:t xml:space="preserve">Ассоциации гаплотипов ADRB2 различались в группах лечения, но не оставались значимыми после корректировки на множественные сравнения. Вариации гаплотипа ADRB1 связаны с риском смертности, и β-блокаторы могут быть предпочтительными в подгруппах пациентов, определяемых полиморфизмом ADRB1 или ADRB2.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2</w:t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Ключевые слова по потенциальным темам на выбор</w:t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5475"/>
        <w:gridCol w:w="3210"/>
        <w:tblGridChange w:id="0">
          <w:tblGrid>
            <w:gridCol w:w="2340"/>
            <w:gridCol w:w="2340"/>
            <w:gridCol w:w="5475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Полиморфизмы генов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Лекарства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Влияние полиморфизмов на эффективность препаратов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CYP2D6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Амитриптилин, атомоксетин, буфуралол, бупранолол, карведилол, хлорфенирамин, хлорпромазин, кломипрамин, клозапин, кодеин, дебризохин, дезипрамин, декстрометорфан, дигидрокодеин, энкаинид, флекаинид, флуоксетин, флувоксамин, гуаноксан, галоперидол, гидрокодон, имипрамин, мапротилин, 4 – метокси-амфетамин, метаклопрамид, метопролол, мексилетин, небиволол, нортриптилин, оксикодон, палоносетрон, пароксетин, перхексилин, перфеназин, феноформан, пропафенон, пророксифен, пропранол, риспер-прокон , толтеродин, трициклические антидепрессанты, трамадол, тразодон, венлафаксин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CYP2C9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Алосетрон, бозентан, целекоксиб, хлорпропамид, диклофенак, дронабинол, флурбипрофен, флувастатин, глимепирид, глипизид, глибурид, гексобарбитал, ибупрофен, индометацин, ирбесартан, лозартан, мелоксикам, монтелукаст, напроксен, натеглинид, фенобарбитал, фенитоин, пироксикам , росиглитазон, розувастатин, сульфаметоксазол, сульфафеназол, тикринафен, толбутамид, торасемид, триметадион, валсартан, S-варфарин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Глюкозо-6-фосфатдегидрогеназа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салицилаты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952a4"/>
                  <w:sz w:val="20"/>
                  <w:szCs w:val="20"/>
                  <w:u w:val="single"/>
                  <w:rtl w:val="0"/>
                </w:rPr>
                <w:t xml:space="preserve">P2RY12 PGx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АДФ-индуцированная агрегация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952a4"/>
                  <w:sz w:val="20"/>
                  <w:szCs w:val="20"/>
                  <w:u w:val="single"/>
                  <w:rtl w:val="0"/>
                </w:rPr>
                <w:t xml:space="preserve">KCNJ11 PGx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bookmarkStart w:colFirst="0" w:colLast="0" w:name="_heading=h.e7belb6jgdyq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производные сульфонилмочевины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952a4"/>
                  <w:sz w:val="20"/>
                  <w:szCs w:val="20"/>
                  <w:u w:val="single"/>
                  <w:rtl w:val="0"/>
                </w:rPr>
                <w:t xml:space="preserve">CYP2E1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bookmarkStart w:colFirst="0" w:colLast="0" w:name="_heading=h.u7tg148uvhou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Ацетаминофен, хлорзоксазон, дакарбазин, энфлюран, этанол (второстепенный путь пути), галотан, изофлуран, изониазид, севофлуран, теофиллин, триметадион.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952a4"/>
                  <w:sz w:val="20"/>
                  <w:szCs w:val="20"/>
                  <w:u w:val="single"/>
                  <w:rtl w:val="0"/>
                </w:rPr>
                <w:t xml:space="preserve">CYP1A2 PGx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bookmarkStart w:colFirst="0" w:colLast="0" w:name="_heading=h.40euddgnx7m6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кофеин и нейролептики.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952a4"/>
                  <w:sz w:val="20"/>
                  <w:szCs w:val="20"/>
                  <w:u w:val="single"/>
                  <w:rtl w:val="0"/>
                </w:rPr>
                <w:t xml:space="preserve">ACE PGx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bookmarkStart w:colFirst="0" w:colLast="0" w:name="_heading=h.hzkso8dzh8xe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ингибиторы АПФ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952a4"/>
                  <w:sz w:val="20"/>
                  <w:szCs w:val="20"/>
                  <w:u w:val="single"/>
                  <w:rtl w:val="0"/>
                </w:rPr>
                <w:t xml:space="preserve">ADRB1 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bookmarkStart w:colFirst="0" w:colLast="0" w:name="_heading=h.eznc2vs9foek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Рецептор, связанный с G-белком, экспрессируется в сердечной ткани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952a4"/>
                  <w:sz w:val="20"/>
                  <w:szCs w:val="20"/>
                  <w:u w:val="single"/>
                  <w:rtl w:val="0"/>
                </w:rPr>
                <w:t xml:space="preserve">ADRB2 PGx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bookmarkStart w:colFirst="0" w:colLast="0" w:name="_heading=h.xzal8r5x249m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бета-2-адренергический рецептор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952a4"/>
                  <w:sz w:val="20"/>
                  <w:szCs w:val="20"/>
                  <w:u w:val="single"/>
                  <w:rtl w:val="0"/>
                </w:rPr>
                <w:t xml:space="preserve">CACNA1S 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Style w:val="Heading5"/>
              <w:keepNext w:val="0"/>
              <w:keepLines w:val="0"/>
              <w:widowControl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color w:val="1952a4"/>
                <w:sz w:val="20"/>
                <w:szCs w:val="20"/>
                <w:u w:val="single"/>
              </w:rPr>
            </w:pPr>
            <w:bookmarkStart w:colFirst="0" w:colLast="0" w:name="_heading=h.gxdv15lkuhyj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Кальциевый канал L-типа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3</w:t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9015413" cy="5439895"/>
            <wp:effectExtent b="0" l="0" r="0" t="0"/>
            <wp:docPr descr="Text, timeline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Text, timeline&#10;&#10;Description automatically generated" id="0" name="image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15413" cy="5439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ind w:left="-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Normal (Web)"/>
    <w:basedOn w:val="a"/>
    <w:uiPriority w:val="99"/>
    <w:semiHidden w:val="1"/>
    <w:unhideWhenUsed w:val="1"/>
    <w:rsid w:val="00A612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ubmed.ncbi.nlm.nih.gov/?term=Langaee%20T%5BAuthor%5D" TargetMode="External"/><Relationship Id="rId22" Type="http://schemas.openxmlformats.org/officeDocument/2006/relationships/hyperlink" Target="https://pubmed.ncbi.nlm.nih.gov/?term=Johnson%20J%5BAuthor%5D" TargetMode="External"/><Relationship Id="rId21" Type="http://schemas.openxmlformats.org/officeDocument/2006/relationships/hyperlink" Target="https://pubmed.ncbi.nlm.nih.gov/?term=Pepine%20C%5BAuthor%5D" TargetMode="External"/><Relationship Id="rId24" Type="http://schemas.openxmlformats.org/officeDocument/2006/relationships/hyperlink" Target="https://www.pharmgkb.org/vip/PA166169501" TargetMode="External"/><Relationship Id="rId23" Type="http://schemas.openxmlformats.org/officeDocument/2006/relationships/hyperlink" Target="https://www.pharmgkb.org/vip/PA16616943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bmed.ncbi.nlm.nih.gov/?term=Melander+O&amp;cauthor_id=11447084" TargetMode="External"/><Relationship Id="rId26" Type="http://schemas.openxmlformats.org/officeDocument/2006/relationships/hyperlink" Target="https://www.pharmgkb.org/vip/PA166165414" TargetMode="External"/><Relationship Id="rId25" Type="http://schemas.openxmlformats.org/officeDocument/2006/relationships/hyperlink" Target="https://www.pharmgkb.org/vip/PA166169425" TargetMode="External"/><Relationship Id="rId28" Type="http://schemas.openxmlformats.org/officeDocument/2006/relationships/hyperlink" Target="https://www.pharmgkb.org/vip/PA166170369" TargetMode="External"/><Relationship Id="rId27" Type="http://schemas.openxmlformats.org/officeDocument/2006/relationships/hyperlink" Target="https://www.pharmgkb.org/vip/PA16616540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pharmgkb.org/vip/PA166165410" TargetMode="External"/><Relationship Id="rId7" Type="http://schemas.openxmlformats.org/officeDocument/2006/relationships/hyperlink" Target="https://pubmed.ncbi.nlm.nih.gov/?term=Bengtsson+K&amp;cauthor_id=11447084" TargetMode="External"/><Relationship Id="rId8" Type="http://schemas.openxmlformats.org/officeDocument/2006/relationships/hyperlink" Target="https://pubmed.ncbi.nlm.nih.gov/11447084/#affiliation-1" TargetMode="External"/><Relationship Id="rId31" Type="http://schemas.openxmlformats.org/officeDocument/2006/relationships/image" Target="media/image1.png"/><Relationship Id="rId30" Type="http://schemas.openxmlformats.org/officeDocument/2006/relationships/hyperlink" Target="https://www.pharmgkb.org/vip/PA166179230" TargetMode="External"/><Relationship Id="rId11" Type="http://schemas.openxmlformats.org/officeDocument/2006/relationships/hyperlink" Target="https://pubmed.ncbi.nlm.nih.gov/?term=Lindblad+U&amp;cauthor_id=11447084" TargetMode="External"/><Relationship Id="rId10" Type="http://schemas.openxmlformats.org/officeDocument/2006/relationships/hyperlink" Target="https://pubmed.ncbi.nlm.nih.gov/?term=Orho-Melander+M&amp;cauthor_id=11447084" TargetMode="External"/><Relationship Id="rId13" Type="http://schemas.openxmlformats.org/officeDocument/2006/relationships/hyperlink" Target="https://pubmed.ncbi.nlm.nih.gov/?term=R%C3%A5stam+L&amp;cauthor_id=11447084" TargetMode="External"/><Relationship Id="rId12" Type="http://schemas.openxmlformats.org/officeDocument/2006/relationships/hyperlink" Target="https://pubmed.ncbi.nlm.nih.gov/?term=Ranstam+J&amp;cauthor_id=11447084" TargetMode="External"/><Relationship Id="rId15" Type="http://schemas.openxmlformats.org/officeDocument/2006/relationships/hyperlink" Target="https://pubmed.ncbi.nlm.nih.gov/?term=Pacanowski%20M%5BAuthor%5D" TargetMode="External"/><Relationship Id="rId14" Type="http://schemas.openxmlformats.org/officeDocument/2006/relationships/hyperlink" Target="https://pubmed.ncbi.nlm.nih.gov/?term=Groop+L&amp;cauthor_id=11447084" TargetMode="External"/><Relationship Id="rId17" Type="http://schemas.openxmlformats.org/officeDocument/2006/relationships/hyperlink" Target="https://pubmed.ncbi.nlm.nih.gov/?term=Cooper-DeHoff%20R%5BAuthor%5D" TargetMode="External"/><Relationship Id="rId16" Type="http://schemas.openxmlformats.org/officeDocument/2006/relationships/hyperlink" Target="https://pubmed.ncbi.nlm.nih.gov/?term=Gong%20Y%5BAuthor%5D" TargetMode="External"/><Relationship Id="rId19" Type="http://schemas.openxmlformats.org/officeDocument/2006/relationships/hyperlink" Target="https://pubmed.ncbi.nlm.nih.gov/?term=Shriver%20M%5BAuthor%5D" TargetMode="External"/><Relationship Id="rId18" Type="http://schemas.openxmlformats.org/officeDocument/2006/relationships/hyperlink" Target="https://pubmed.ncbi.nlm.nih.gov/?term=Schork%20N%5BAuthor%5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7Dj5w38IyGpw0btVLVqialbqAw==">CgMxLjAyDmguZWlxODN4ajRlNjR1Mg5oLmU3YmVsYjZqZ2R5cTIOaC51N3RnMTQ4dXZob3UyDmguNDBldWRkZ254N202Mg5oLmh6a3NvOGR6aDh4ZTIOaC5lem5jMnZzOWZvZWsyDmgueHphbDhyNXgyNDltMg5oLmd4ZHYxNWxrdWh5ajgAciExSjRHeWQ4Q29JSXI1N0FOR0kxc3lSNzJBUkZEcDBENVU=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2024-01-18T17:48:00Z</dcterms:created>
  <dc:creator>Пользователь</dc:creator>
</cp:coreProperties>
</file>